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к Положению о муниципальном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контроле на автомобильном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транспорте, городском наземном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электрическом транспорте и в 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дорожном хозяйстве вне границ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населённых пунктов в границах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отнесения объектов контроля к определенной категории риска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при осуществлении администрацией муниципального образования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Красноармейский район муниципального контроля на автомобильном транспорте, городском наземном электрическом транспорте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и в дорожном хозяйстве вне границ населённых пунктов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в границах муниципального района</w:t>
      </w:r>
    </w:p>
    <w:p w:rsidR="006E5885" w:rsidRPr="006E5885" w:rsidRDefault="006E5885" w:rsidP="006E5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885" w:rsidRPr="006E5885" w:rsidRDefault="006E5885" w:rsidP="006E58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1. Отнесение объектов контроля к определенной категории риска при осуществлении администрацией муниципального образования</w:t>
      </w:r>
      <w:bookmarkStart w:id="0" w:name="_GoBack"/>
      <w:bookmarkEnd w:id="0"/>
      <w:r w:rsidRPr="006E5885">
        <w:rPr>
          <w:rFonts w:ascii="Times New Roman" w:hAnsi="Times New Roman" w:cs="Times New Roman"/>
          <w:sz w:val="28"/>
          <w:szCs w:val="28"/>
        </w:rPr>
        <w:t xml:space="preserve"> Красноармейский район муниципального контроля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 осуществляется на основании расчета суммы баллов по критериям.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2. В области автомобильных дорог и дорожной деятельности,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протяженность дороги – 10 баллов/км;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категория автомобильной дороги: III категория – 20 баллов, IV категория - 15 баллов, V категория – 10 баллов.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3. В области организации регулярных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части объектов транспортной инфраструктуры (остановочных пунктов)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количество маршрутов, проходящих через остановочный пункт и –            5 баллов/маршрут.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lastRenderedPageBreak/>
        <w:t>4. В области организации регулярных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части деятельности по перевозкам по маршрутам муниципальных перевозок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протяженность маршрута – 0,5 балла/км;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количество транспортных средств на маршруте – 5 баллов/транспортное средство;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вместимость транспортных средств, используемых при осуществлении маршрута, – 0,5   баллов/место.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5. Наличие мер правового реагирования в отношении субъекта муниципального контроля в течение 3 лет, предшествующих году отнесения объекта муниципального контроля к определенной категории риска: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предостережение о недопустимости нарушения обязательных требований (в случае выявления аналогичных нарушений после объявления предостережения) – 5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неисполненное в установленный срок предписание об устранении нарушений обязательных требований – 10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вступившие в силу решения (постановления) о назначении административного наказания за правонарушения, предусмотренные статьями 11.21, 11.22, 12.21.3, 12.21.4, частями 3, 6 статьи 12.31.1, 14.43, частью 1 статьи 19.4, статьей 19.4.1, частью 1 статьи 19.5 и статьей 19.7 Кодекса Российской Федерации об административных правонарушениях (за исключением административного наказания в виде предупреждения) – 15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г) вступивший в законную силу обвинительный приговор суда с назначением контролируемому лицу наказания (или решение (постановление) о назначении контролируемому лицу административного наказания)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не повлёкшего причинение вреда жизни и (или) здоровью людей – 20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д) вступивший в законную силу обвинительный приговор суда с назначением наказания контролируемому лицу (или решение (постановление) о назначении административного наказания контролируемому лицу)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 – 25 баллов/факт.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6. Отнесение объектов контроля к определенной категории риска при осуществлении администрацией муниципального образования Красноармейский район муниципального контроля на автомобильном транспорте, городском </w:t>
      </w:r>
      <w:r w:rsidRPr="006E5885">
        <w:rPr>
          <w:rFonts w:ascii="Times New Roman" w:hAnsi="Times New Roman" w:cs="Times New Roman"/>
          <w:sz w:val="28"/>
          <w:szCs w:val="28"/>
        </w:rPr>
        <w:lastRenderedPageBreak/>
        <w:t>наземном электрическом транспорте и в дорожном хозяйстве вне границ населённых пунктов в границах муниципального района на основании расчета суммы баллов по критериям осуществляется следующим образом: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низкий риск – менее 10 баллов;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умеренный риск – от 10 до 50 баллов;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средний риск – более 50 баллов.</w:t>
      </w:r>
    </w:p>
    <w:p w:rsidR="006E5885" w:rsidRPr="006E5885" w:rsidRDefault="006E5885" w:rsidP="000C1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6E5885" w:rsidRP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по ЖКХ, транспорту, связи </w:t>
      </w:r>
    </w:p>
    <w:p w:rsidR="006E5885" w:rsidRP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и жилищным вопросам</w:t>
      </w:r>
    </w:p>
    <w:p w:rsidR="006E5885" w:rsidRP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E5885" w:rsidRP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  <w:r w:rsidRPr="006E5885">
        <w:rPr>
          <w:rFonts w:ascii="Times New Roman" w:hAnsi="Times New Roman" w:cs="Times New Roman"/>
          <w:sz w:val="28"/>
          <w:szCs w:val="28"/>
        </w:rPr>
        <w:tab/>
      </w:r>
      <w:r w:rsidRPr="006E5885">
        <w:rPr>
          <w:rFonts w:ascii="Times New Roman" w:hAnsi="Times New Roman" w:cs="Times New Roman"/>
          <w:sz w:val="28"/>
          <w:szCs w:val="28"/>
        </w:rPr>
        <w:tab/>
      </w:r>
      <w:r w:rsidRPr="006E5885">
        <w:rPr>
          <w:rFonts w:ascii="Times New Roman" w:hAnsi="Times New Roman" w:cs="Times New Roman"/>
          <w:sz w:val="28"/>
          <w:szCs w:val="28"/>
        </w:rPr>
        <w:tab/>
      </w:r>
      <w:r w:rsidRPr="006E5885">
        <w:rPr>
          <w:rFonts w:ascii="Times New Roman" w:hAnsi="Times New Roman" w:cs="Times New Roman"/>
          <w:sz w:val="28"/>
          <w:szCs w:val="28"/>
        </w:rPr>
        <w:tab/>
        <w:t xml:space="preserve">           Е.А. </w:t>
      </w:r>
      <w:proofErr w:type="spellStart"/>
      <w:r w:rsidRPr="006E5885"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</w:p>
    <w:sectPr w:rsidR="006E5885" w:rsidRPr="006E5885" w:rsidSect="006E58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09C" w:rsidRDefault="00BB609C" w:rsidP="006E5885">
      <w:pPr>
        <w:spacing w:after="0" w:line="240" w:lineRule="auto"/>
      </w:pPr>
      <w:r>
        <w:separator/>
      </w:r>
    </w:p>
  </w:endnote>
  <w:endnote w:type="continuationSeparator" w:id="0">
    <w:p w:rsidR="00BB609C" w:rsidRDefault="00BB609C" w:rsidP="006E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09C" w:rsidRDefault="00BB609C" w:rsidP="006E5885">
      <w:pPr>
        <w:spacing w:after="0" w:line="240" w:lineRule="auto"/>
      </w:pPr>
      <w:r>
        <w:separator/>
      </w:r>
    </w:p>
  </w:footnote>
  <w:footnote w:type="continuationSeparator" w:id="0">
    <w:p w:rsidR="00BB609C" w:rsidRDefault="00BB609C" w:rsidP="006E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571647"/>
      <w:docPartObj>
        <w:docPartGallery w:val="Page Numbers (Top of Page)"/>
        <w:docPartUnique/>
      </w:docPartObj>
    </w:sdtPr>
    <w:sdtEndPr/>
    <w:sdtContent>
      <w:p w:rsidR="006E5885" w:rsidRDefault="006E5885">
        <w:pPr>
          <w:pStyle w:val="a3"/>
          <w:jc w:val="center"/>
        </w:pPr>
        <w:r w:rsidRPr="006E58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8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19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5885" w:rsidRDefault="006E5885" w:rsidP="006E588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85"/>
    <w:rsid w:val="00016C2B"/>
    <w:rsid w:val="000C19C5"/>
    <w:rsid w:val="006E5885"/>
    <w:rsid w:val="0078642B"/>
    <w:rsid w:val="00BB609C"/>
    <w:rsid w:val="00C8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DD74D6-3655-4BB5-BE07-66761CAB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885"/>
  </w:style>
  <w:style w:type="paragraph" w:styleId="a5">
    <w:name w:val="footer"/>
    <w:basedOn w:val="a"/>
    <w:link w:val="a6"/>
    <w:uiPriority w:val="99"/>
    <w:unhideWhenUsed/>
    <w:rsid w:val="006E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FD24-2799-4896-8682-170CA067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Елена Николаевна</dc:creator>
  <cp:keywords/>
  <dc:description/>
  <cp:lastModifiedBy>Прокопенко Елена Николаевна</cp:lastModifiedBy>
  <cp:revision>2</cp:revision>
  <cp:lastPrinted>2025-04-21T12:18:00Z</cp:lastPrinted>
  <dcterms:created xsi:type="dcterms:W3CDTF">2025-04-21T11:04:00Z</dcterms:created>
  <dcterms:modified xsi:type="dcterms:W3CDTF">2025-04-21T12:18:00Z</dcterms:modified>
</cp:coreProperties>
</file>